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04" w:rsidRDefault="00BA1204" w:rsidP="00BA1204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BA1204" w:rsidTr="00BA1204">
        <w:trPr>
          <w:jc w:val="center"/>
        </w:trPr>
        <w:tc>
          <w:tcPr>
            <w:tcW w:w="4253" w:type="dxa"/>
          </w:tcPr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453472, </w:t>
            </w:r>
            <w:proofErr w:type="spellStart"/>
            <w:r>
              <w:rPr>
                <w:sz w:val="16"/>
                <w:szCs w:val="16"/>
                <w:lang w:eastAsia="en-US"/>
              </w:rPr>
              <w:t>Ауыр</w:t>
            </w:r>
            <w:proofErr w:type="spellEnd"/>
            <w:proofErr w:type="gramStart"/>
            <w:r>
              <w:rPr>
                <w:sz w:val="16"/>
                <w:szCs w:val="16"/>
                <w:lang w:val="en-US" w:eastAsia="en-US"/>
              </w:rPr>
              <w:t>f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азы районы, </w:t>
            </w:r>
            <w:proofErr w:type="spellStart"/>
            <w:r>
              <w:rPr>
                <w:sz w:val="16"/>
                <w:szCs w:val="16"/>
                <w:lang w:eastAsia="en-US"/>
              </w:rPr>
              <w:t>Кесе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Ибрай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</w:p>
        </w:tc>
        <w:bookmarkStart w:id="0" w:name="_MON_1200138852"/>
        <w:bookmarkEnd w:id="0"/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6744797" r:id="rId7"/>
              </w:object>
            </w:r>
          </w:p>
        </w:tc>
        <w:tc>
          <w:tcPr>
            <w:tcW w:w="4395" w:type="dxa"/>
          </w:tcPr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1204" w:rsidRDefault="00BA1204">
            <w:pPr>
              <w:pStyle w:val="ac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453472, </w:t>
            </w:r>
            <w:proofErr w:type="spellStart"/>
            <w:r>
              <w:rPr>
                <w:sz w:val="16"/>
                <w:szCs w:val="16"/>
                <w:lang w:eastAsia="en-US"/>
              </w:rPr>
              <w:t>Аургазинский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алое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Ибраево</w:t>
            </w:r>
            <w:proofErr w:type="spellEnd"/>
            <w:r>
              <w:rPr>
                <w:sz w:val="16"/>
                <w:szCs w:val="16"/>
                <w:lang w:eastAsia="en-US"/>
              </w:rPr>
              <w:t>, т. 2-54-31</w:t>
            </w:r>
          </w:p>
        </w:tc>
      </w:tr>
    </w:tbl>
    <w:p w:rsidR="00BA1204" w:rsidRDefault="00BA1204" w:rsidP="00BA1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BA1204" w:rsidRDefault="00BA1204" w:rsidP="00BA1204">
      <w:pPr>
        <w:pStyle w:val="ac"/>
        <w:rPr>
          <w:sz w:val="28"/>
          <w:szCs w:val="28"/>
        </w:rPr>
      </w:pPr>
    </w:p>
    <w:p w:rsidR="00BA1204" w:rsidRDefault="00BA1204" w:rsidP="00BA1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1204" w:rsidRDefault="00BA1204" w:rsidP="00BA1204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49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BA1204" w:rsidRDefault="00BA1204" w:rsidP="00BA1204">
      <w:pPr>
        <w:spacing w:after="1"/>
        <w:rPr>
          <w:rFonts w:ascii="Times New Roman" w:hAnsi="Times New Roman"/>
          <w:sz w:val="28"/>
          <w:szCs w:val="28"/>
        </w:rPr>
      </w:pP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217.1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от 01.07.2014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 196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BA1204" w:rsidRDefault="00BA1204" w:rsidP="00BA120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A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BA1204" w:rsidRDefault="00BA1204" w:rsidP="00BA120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сельского поселения от 25.07.2014 № 17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1204" w:rsidRDefault="00BA1204" w:rsidP="00BA120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A1204" w:rsidRDefault="00BA1204" w:rsidP="00BA120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Ю.Н. Ефимов</w:t>
      </w:r>
    </w:p>
    <w:p w:rsidR="00BA1204" w:rsidRDefault="00BA1204" w:rsidP="00BA1204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A1204" w:rsidRDefault="00BA1204" w:rsidP="00BA1204">
      <w:pPr>
        <w:pStyle w:val="ConsPlusNormal0"/>
        <w:jc w:val="right"/>
      </w:pPr>
    </w:p>
    <w:p w:rsidR="00BA1204" w:rsidRDefault="00BA1204" w:rsidP="00BA1204">
      <w:pPr>
        <w:pStyle w:val="ConsPlusNormal0"/>
        <w:jc w:val="right"/>
      </w:pPr>
    </w:p>
    <w:p w:rsidR="00BA1204" w:rsidRDefault="00BA1204" w:rsidP="00BA1204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A1204" w:rsidRDefault="00BA1204" w:rsidP="00BA1204">
      <w:pPr>
        <w:pStyle w:val="ConsPlusNormal0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2019г. № 49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ИБРАЕВСКИЙ СЕЛЬСОВЕТ МУНИЦИПАЛЬНОГО РАЙОНА АУРГАЗИНСКИЙ РАЙОН РЕСПУБЛИКИ БАШКОРТОСТАН В ТЕКУЩЕМ ФИНАНСОВОМ ГОДУ</w:t>
      </w:r>
    </w:p>
    <w:p w:rsidR="00BA1204" w:rsidRDefault="00BA1204" w:rsidP="00BA120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217.1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</w:t>
      </w:r>
      <w:r w:rsidRPr="00BA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BA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Уточнение и представление показателей для кассового плана осуществляется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главами</w:t>
      </w:r>
      <w:r w:rsidRPr="00BA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2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 СЕЛЬСКОГО ПОСЕЛЕНИЯ ИБРАЕВСКИЙ СЕЛЬСОВЕТ МУНИЦИПАЛЬНОГО РАЙОНА АУРГАЗИНСКИЙ РАЙОН РЕСПУБЛИКИ БАШКОРТОСТАН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 РАСХОДАМ БЮДЖЕТА СЕЛЬСКОГО ПОСЕЛЕНИЯ ИБРАЕВСКИЙ СЕЛЬСОВЕТ МУНИЦИПАЛЬНОГО РАЙОНА АУРГАЗИНСКИЙ РАЙОН РЕСПУБЛИКИ БАШКОРТОСТАН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прогнозов </w:t>
      </w:r>
      <w:r>
        <w:rPr>
          <w:rFonts w:ascii="Times New Roman" w:hAnsi="Times New Roman" w:cs="Times New Roman"/>
          <w:sz w:val="28"/>
          <w:szCs w:val="28"/>
        </w:rPr>
        <w:t xml:space="preserve">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года – ежемесячно, не позднее пятого рабочего дня текущего месяца.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ИБРАЕВСКИЙ СЕЛЬСОВЕТ МУНИЦИПАЛЬНОГО РАЙОНА АУРГАЗИНСКИЙ РАЙОН РЕСПУБЛИКИ БАШКОРТОСТАН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</w:t>
      </w:r>
      <w:r>
        <w:rPr>
          <w:rFonts w:ascii="Times New Roman" w:hAnsi="Times New Roman" w:cs="Times New Roman"/>
          <w:sz w:val="28"/>
          <w:szCs w:val="28"/>
        </w:rPr>
        <w:t xml:space="preserve">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 за отчетный период и уточняются соответствующие показатели периода, следующего за отчетным месяцем.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BA1204" w:rsidRDefault="00BA1204" w:rsidP="00BA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БЮДЖЕТА СЕЛЬСКОГО ПОСЕЛЕНИЯ ИБРАЕВСКИЙ СЕЛЬСОВЕТ МУНИЦИПАЛЬНОГО РАЙОНА АУРГАЗИНСКИЙ РАЙОН РЕСПУБЛИКИ БАШКОРТОСТАН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spacing w:after="0" w:line="240" w:lineRule="auto"/>
        <w:rPr>
          <w:rFonts w:ascii="Times New Roman" w:hAnsi="Times New Roman"/>
          <w:sz w:val="20"/>
          <w:szCs w:val="20"/>
        </w:rPr>
        <w:sectPr w:rsidR="00BA1204">
          <w:pgSz w:w="11906" w:h="16838"/>
          <w:pgMar w:top="284" w:right="566" w:bottom="993" w:left="1133" w:header="0" w:footer="0" w:gutter="0"/>
          <w:cols w:space="720"/>
        </w:sect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BA1204" w:rsidRDefault="00BA1204" w:rsidP="00BA1204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кассового плана исполнения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BA1204" w:rsidRDefault="00BA1204" w:rsidP="00BA1204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</w:t>
      </w:r>
      <w:proofErr w:type="gramStart"/>
      <w:r>
        <w:rPr>
          <w:rFonts w:ascii="Times New Roman" w:hAnsi="Times New Roman" w:cs="Times New Roman"/>
          <w:sz w:val="14"/>
          <w:szCs w:val="14"/>
        </w:rPr>
        <w:t>РАСПРЕДЕЛЕНИИ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ПОСТУПЛЕНИЙ ДОХОДОВ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ИБРАЕВСКИЙ СЕЛЬСОВЕТ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BA1204" w:rsidRDefault="00BA1204" w:rsidP="00BA1204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sz w:val="14"/>
          <w:szCs w:val="14"/>
        </w:rPr>
        <w:t>Ибраевский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район</w:t>
      </w:r>
      <w:r>
        <w:rPr>
          <w:rFonts w:ascii="Times New Roman" w:hAnsi="Times New Roman" w:cs="Times New Roman"/>
          <w:sz w:val="14"/>
          <w:szCs w:val="14"/>
        </w:rPr>
        <w:tab/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4"/>
            <w:szCs w:val="14"/>
          </w:rPr>
          <w:t>ОКЕИ</w:t>
        </w:r>
      </w:hyperlink>
      <w:r>
        <w:rPr>
          <w:rFonts w:ascii="Times New Roman" w:hAnsi="Times New Roman" w:cs="Times New Roman"/>
          <w:sz w:val="14"/>
          <w:szCs w:val="14"/>
        </w:rPr>
        <w:t>│     383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849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год</w:t>
            </w:r>
          </w:p>
        </w:tc>
      </w:tr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__________________ 20___ г.</w:t>
      </w:r>
    </w:p>
    <w:p w:rsidR="00BA1204" w:rsidRDefault="00BA1204" w:rsidP="00BA1204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кассового плана исполнения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BA1204" w:rsidRDefault="00BA1204" w:rsidP="00BA120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ИБРАЕВСКИЙ СЕЛЬСОВЕТ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4"/>
          <w:szCs w:val="14"/>
        </w:rPr>
        <w:t>Ибраевский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сельсовет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4"/>
            <w:szCs w:val="14"/>
          </w:rPr>
          <w:t>ОКЕИ</w:t>
        </w:r>
      </w:hyperlink>
      <w:r>
        <w:rPr>
          <w:rFonts w:ascii="Times New Roman" w:hAnsi="Times New Roman" w:cs="Times New Roman"/>
          <w:sz w:val="14"/>
          <w:szCs w:val="14"/>
        </w:rPr>
        <w:t>│     383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42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850"/>
        <w:gridCol w:w="849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BA1204" w:rsidTr="00BA1204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год</w:t>
            </w:r>
          </w:p>
        </w:tc>
      </w:tr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__________________ 20___ г.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кассового плана исполнения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BA1204" w:rsidRDefault="00BA1204" w:rsidP="00BA120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1396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65"/>
      </w:tblGrid>
      <w:tr w:rsidR="00BA1204" w:rsidTr="00BA120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rFonts w:ascii="Times New Roman" w:hAnsi="Times New Roman" w:cs="Times New Roman"/>
          <w:sz w:val="14"/>
          <w:szCs w:val="14"/>
        </w:rPr>
        <w:t>ПО</w:t>
      </w:r>
      <w:proofErr w:type="gramEnd"/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ИБРАЕВСКИЙ СЕЛЬСОВЕТ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4"/>
            <w:szCs w:val="14"/>
          </w:rPr>
          <w:t>ОКЕИ</w:t>
        </w:r>
      </w:hyperlink>
      <w:r>
        <w:rPr>
          <w:rFonts w:ascii="Times New Roman" w:hAnsi="Times New Roman" w:cs="Times New Roman"/>
          <w:sz w:val="14"/>
          <w:szCs w:val="14"/>
        </w:rPr>
        <w:t>│     383      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2"/>
        <w:gridCol w:w="851"/>
        <w:gridCol w:w="852"/>
        <w:gridCol w:w="994"/>
        <w:gridCol w:w="709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год</w:t>
            </w: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1204" w:rsidRDefault="00BA1204" w:rsidP="00BA1204">
      <w:pPr>
        <w:pStyle w:val="ConsPlusNormal0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__________________ 20___ г.</w:t>
      </w:r>
    </w:p>
    <w:p w:rsidR="00BA1204" w:rsidRDefault="00BA1204" w:rsidP="00BA1204">
      <w:pPr>
        <w:spacing w:after="0" w:line="240" w:lineRule="auto"/>
        <w:rPr>
          <w:rFonts w:ascii="Times New Roman" w:hAnsi="Times New Roman"/>
          <w:sz w:val="20"/>
          <w:szCs w:val="20"/>
        </w:rPr>
        <w:sectPr w:rsidR="00BA1204">
          <w:pgSz w:w="16838" w:h="11906" w:orient="landscape"/>
          <w:pgMar w:top="-437" w:right="1440" w:bottom="566" w:left="1440" w:header="0" w:footer="0" w:gutter="0"/>
          <w:cols w:space="720"/>
        </w:sectPr>
      </w:pPr>
    </w:p>
    <w:p w:rsidR="00BA1204" w:rsidRDefault="00BA1204" w:rsidP="00BA1204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кассового плана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A1204" w:rsidRDefault="00BA1204" w:rsidP="00BA120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BA1204" w:rsidRDefault="00BA1204" w:rsidP="00BA120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BA1204" w:rsidTr="00BA1204">
        <w:trPr>
          <w:jc w:val="center"/>
        </w:trPr>
        <w:tc>
          <w:tcPr>
            <w:tcW w:w="1020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>
        <w:rPr>
          <w:rFonts w:ascii="Times New Roman" w:hAnsi="Times New Roman" w:cs="Times New Roman"/>
        </w:rPr>
        <w:t>И.О.Фамилия</w:t>
      </w:r>
      <w:proofErr w:type="spellEnd"/>
      <w:r>
        <w:rPr>
          <w:rFonts w:ascii="Times New Roman" w:hAnsi="Times New Roman" w:cs="Times New Roman"/>
        </w:rPr>
        <w:t>)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BA1204" w:rsidRDefault="00BA1204" w:rsidP="00BA1204">
      <w:pPr>
        <w:pStyle w:val="ConsPlusNormal0"/>
        <w:jc w:val="center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>
        <w:rPr>
          <w:rFonts w:ascii="Times New Roman" w:hAnsi="Times New Roman" w:cs="Times New Roman"/>
        </w:rPr>
        <w:t xml:space="preserve">                              КАССОВЫЙ ПЛАН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ИСПОЛНЕНИЯ БЮДЖЕТА СЕЛЬСКОГО ПОСЕЛЕНИЯ ИБРАЕВСКИЙ СЕЛЬСОВЕТ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на "__" ___________ 20__ г.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составление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ведение кассового плана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               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p w:rsidR="00BA1204" w:rsidRDefault="00BA1204" w:rsidP="00BA1204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A1204" w:rsidRDefault="00BA1204" w:rsidP="00BA1204">
      <w:pPr>
        <w:spacing w:after="0" w:line="240" w:lineRule="auto"/>
        <w:rPr>
          <w:rFonts w:ascii="Times New Roman" w:hAnsi="Times New Roman"/>
          <w:sz w:val="20"/>
          <w:szCs w:val="20"/>
        </w:rPr>
        <w:sectPr w:rsidR="00BA1204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за год</w:t>
            </w: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поступления - всего,</w:t>
            </w:r>
          </w:p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Налоговые и неналоговые доходы,</w:t>
            </w:r>
          </w:p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Поступления источников финансирования дефицита бюджета СП - всего,</w:t>
            </w:r>
          </w:p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расходы,</w:t>
            </w:r>
          </w:p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трансферты,</w:t>
            </w:r>
          </w:p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Выплаты из источников финансирования дефицита бюджета СП - всего,</w:t>
            </w:r>
          </w:p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204" w:rsidTr="00BA120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1204" w:rsidRDefault="00BA1204" w:rsidP="00BA1204">
      <w:pPr>
        <w:spacing w:after="0" w:line="240" w:lineRule="auto"/>
        <w:rPr>
          <w:rFonts w:ascii="Times New Roman" w:hAnsi="Times New Roman"/>
          <w:sz w:val="20"/>
          <w:szCs w:val="20"/>
        </w:rPr>
        <w:sectPr w:rsidR="00BA1204">
          <w:pgSz w:w="16838" w:h="11906" w:orient="landscape"/>
          <w:pgMar w:top="1133" w:right="1440" w:bottom="566" w:left="1440" w:header="0" w:footer="0" w:gutter="0"/>
          <w:cols w:space="720"/>
        </w:sectPr>
      </w:pPr>
      <w:bookmarkStart w:id="8" w:name="_GoBack"/>
      <w:bookmarkEnd w:id="8"/>
    </w:p>
    <w:p w:rsidR="00EF31A1" w:rsidRDefault="00EF31A1" w:rsidP="00BA1204">
      <w:pPr>
        <w:pStyle w:val="ConsPlusNormal0"/>
      </w:pPr>
    </w:p>
    <w:sectPr w:rsidR="00EF31A1" w:rsidSect="00BA1204">
      <w:pgSz w:w="11906" w:h="16838"/>
      <w:pgMar w:top="851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D6"/>
    <w:rsid w:val="005E3BD6"/>
    <w:rsid w:val="00BA1204"/>
    <w:rsid w:val="00E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4"/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A120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A120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styleId="a3">
    <w:name w:val="Hyperlink"/>
    <w:semiHidden/>
    <w:unhideWhenUsed/>
    <w:rsid w:val="00BA12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2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A1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BA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A120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204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0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A1204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BA12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Основной текст_"/>
    <w:link w:val="3"/>
    <w:locked/>
    <w:rsid w:val="00BA1204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BA1204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customStyle="1" w:styleId="af">
    <w:name w:val="Знак"/>
    <w:basedOn w:val="a"/>
    <w:autoRedefine/>
    <w:rsid w:val="00BA1204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4"/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A120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A120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styleId="a3">
    <w:name w:val="Hyperlink"/>
    <w:semiHidden/>
    <w:unhideWhenUsed/>
    <w:rsid w:val="00BA12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2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A1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BA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A120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204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0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A1204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BA12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A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Основной текст_"/>
    <w:link w:val="3"/>
    <w:locked/>
    <w:rsid w:val="00BA1204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BA1204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customStyle="1" w:styleId="af">
    <w:name w:val="Знак"/>
    <w:basedOn w:val="a"/>
    <w:autoRedefine/>
    <w:rsid w:val="00BA1204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4A2C8801C153EC351806E4B205ACF5A4E7071C56976A14F0DF1FF7Fq0S4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B874AD78AB308993ED05D0C7C9A0A7CE44A2C8801C153EC351806E4B205ACF5A4E7071C56976A14F0DF1FF7Fq0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4718</Words>
  <Characters>26893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2020-03-26T11:12:00Z</dcterms:created>
  <dcterms:modified xsi:type="dcterms:W3CDTF">2020-03-26T11:20:00Z</dcterms:modified>
</cp:coreProperties>
</file>